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C7D9F" w14:textId="6FF0D994" w:rsidR="00D70A17" w:rsidRPr="00871A2D" w:rsidRDefault="001A0939" w:rsidP="00685530">
      <w:pPr>
        <w:jc w:val="center"/>
        <w:rPr>
          <w:b/>
          <w:bCs/>
        </w:rPr>
      </w:pPr>
      <w:r>
        <w:rPr>
          <w:b/>
          <w:bCs/>
        </w:rPr>
        <w:t>Paediatric anomalous</w:t>
      </w:r>
      <w:r w:rsidR="0037588F">
        <w:rPr>
          <w:b/>
          <w:bCs/>
        </w:rPr>
        <w:t>/raised</w:t>
      </w:r>
      <w:r w:rsidR="00871A2D">
        <w:rPr>
          <w:b/>
          <w:bCs/>
        </w:rPr>
        <w:t xml:space="preserve"> </w:t>
      </w:r>
      <w:r w:rsidR="00ED429D" w:rsidRPr="00871A2D">
        <w:rPr>
          <w:b/>
          <w:bCs/>
        </w:rPr>
        <w:t xml:space="preserve">optic disc referral </w:t>
      </w:r>
      <w:r w:rsidR="00871A2D">
        <w:rPr>
          <w:b/>
          <w:bCs/>
        </w:rPr>
        <w:t>form</w:t>
      </w:r>
      <w:r>
        <w:rPr>
          <w:b/>
          <w:bCs/>
        </w:rPr>
        <w:t xml:space="preserve"> (ages 0-17)</w:t>
      </w:r>
    </w:p>
    <w:p w14:paraId="60E44032" w14:textId="77777777" w:rsidR="00ED429D" w:rsidRDefault="00ED429D"/>
    <w:p w14:paraId="4DE0058F" w14:textId="0599A27E" w:rsidR="00ED429D" w:rsidRPr="00685530" w:rsidRDefault="00ED429D">
      <w:r>
        <w:t xml:space="preserve">Please ensure the examination findings </w:t>
      </w:r>
      <w:r w:rsidR="00871A2D">
        <w:t xml:space="preserve">and symptoms questionnaire </w:t>
      </w:r>
      <w:r>
        <w:t>are fully complete</w:t>
      </w:r>
      <w:r w:rsidR="00871A2D">
        <w:t xml:space="preserve">d </w:t>
      </w:r>
      <w:r>
        <w:t>so that we can triage the referral appropriately</w:t>
      </w:r>
      <w:r w:rsidR="001A0939">
        <w:t>, or ensure the details below are included in your own referral template</w:t>
      </w:r>
      <w:r>
        <w:t>.</w:t>
      </w:r>
      <w:r w:rsidR="00685530">
        <w:t xml:space="preserve"> </w:t>
      </w:r>
      <w:r>
        <w:t xml:space="preserve">The child may be given an appointment in a virtual clinic where we will </w:t>
      </w:r>
      <w:r w:rsidR="00871A2D">
        <w:t xml:space="preserve">only be undertaking imaging </w:t>
      </w:r>
      <w:r>
        <w:t xml:space="preserve">and </w:t>
      </w:r>
      <w:proofErr w:type="gramStart"/>
      <w:r>
        <w:t>so</w:t>
      </w:r>
      <w:proofErr w:type="gramEnd"/>
      <w:r>
        <w:t xml:space="preserve"> please highlight if there was any difficulty in obtaining </w:t>
      </w:r>
      <w:r w:rsidR="00871A2D">
        <w:t xml:space="preserve">the below examination findings. </w:t>
      </w:r>
      <w:r w:rsidR="00871A2D" w:rsidRPr="001A5A9C">
        <w:rPr>
          <w:i/>
          <w:iCs/>
        </w:rPr>
        <w:t xml:space="preserve">Please </w:t>
      </w:r>
      <w:r w:rsidR="001A5A9C" w:rsidRPr="001A5A9C">
        <w:rPr>
          <w:i/>
          <w:iCs/>
        </w:rPr>
        <w:t>note if the child has developmental delay, ADHD or au</w:t>
      </w:r>
      <w:r w:rsidR="00685530">
        <w:rPr>
          <w:i/>
          <w:iCs/>
        </w:rPr>
        <w:t>tism</w:t>
      </w:r>
      <w:r w:rsidR="001A5A9C" w:rsidRPr="001A5A9C">
        <w:rPr>
          <w:i/>
          <w:iCs/>
        </w:rPr>
        <w:t xml:space="preserve"> that may affect examination</w:t>
      </w:r>
      <w:r w:rsidR="00C0051B">
        <w:rPr>
          <w:i/>
          <w:iCs/>
        </w:rPr>
        <w:t>.</w:t>
      </w:r>
    </w:p>
    <w:p w14:paraId="008F6EA7" w14:textId="77777777" w:rsidR="00ED429D" w:rsidRDefault="00ED429D"/>
    <w:p w14:paraId="63A69F64" w14:textId="46A32459" w:rsidR="00871A2D" w:rsidRPr="00685530" w:rsidRDefault="00871A2D" w:rsidP="00685530">
      <w:pPr>
        <w:jc w:val="center"/>
        <w:rPr>
          <w:b/>
          <w:bCs/>
        </w:rPr>
      </w:pPr>
      <w:r w:rsidRPr="00685530">
        <w:rPr>
          <w:b/>
          <w:bCs/>
        </w:rPr>
        <w:t>Examination</w:t>
      </w:r>
    </w:p>
    <w:p w14:paraId="7CECA175" w14:textId="77777777" w:rsidR="00871A2D" w:rsidRDefault="00871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429D" w:rsidRPr="00082277" w14:paraId="61AAF31A" w14:textId="77777777" w:rsidTr="00ED429D">
        <w:tc>
          <w:tcPr>
            <w:tcW w:w="3005" w:type="dxa"/>
          </w:tcPr>
          <w:p w14:paraId="039AFBE7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6BBE7587" w14:textId="6A4C3BBB" w:rsidR="00ED429D" w:rsidRPr="00082277" w:rsidRDefault="00ED429D" w:rsidP="00631FA9">
            <w:pPr>
              <w:jc w:val="center"/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Right eye</w:t>
            </w:r>
          </w:p>
        </w:tc>
        <w:tc>
          <w:tcPr>
            <w:tcW w:w="3006" w:type="dxa"/>
          </w:tcPr>
          <w:p w14:paraId="04AFA71F" w14:textId="77467A57" w:rsidR="00ED429D" w:rsidRPr="00082277" w:rsidRDefault="00ED429D" w:rsidP="00631FA9">
            <w:pPr>
              <w:jc w:val="center"/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Left eye</w:t>
            </w:r>
          </w:p>
        </w:tc>
      </w:tr>
      <w:tr w:rsidR="00ED429D" w:rsidRPr="00082277" w14:paraId="7A1B82F3" w14:textId="77777777" w:rsidTr="00ED429D">
        <w:tc>
          <w:tcPr>
            <w:tcW w:w="3005" w:type="dxa"/>
          </w:tcPr>
          <w:p w14:paraId="763D180A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20D0318B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E09695A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722A9C85" w14:textId="77777777" w:rsidTr="00ED429D">
        <w:tc>
          <w:tcPr>
            <w:tcW w:w="3005" w:type="dxa"/>
          </w:tcPr>
          <w:p w14:paraId="0C7B9BCB" w14:textId="2173DF56" w:rsidR="00ED429D" w:rsidRPr="00082277" w:rsidRDefault="00ED429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 xml:space="preserve">Visual </w:t>
            </w:r>
            <w:r w:rsidR="00871A2D" w:rsidRPr="00082277">
              <w:rPr>
                <w:sz w:val="22"/>
                <w:szCs w:val="22"/>
              </w:rPr>
              <w:t>A</w:t>
            </w:r>
            <w:r w:rsidRPr="00082277">
              <w:rPr>
                <w:sz w:val="22"/>
                <w:szCs w:val="22"/>
              </w:rPr>
              <w:t>cuity</w:t>
            </w:r>
          </w:p>
        </w:tc>
        <w:tc>
          <w:tcPr>
            <w:tcW w:w="3005" w:type="dxa"/>
          </w:tcPr>
          <w:p w14:paraId="7D14636E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1237650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5A1F8817" w14:textId="77777777" w:rsidTr="00ED429D">
        <w:tc>
          <w:tcPr>
            <w:tcW w:w="3005" w:type="dxa"/>
          </w:tcPr>
          <w:p w14:paraId="67C38D41" w14:textId="0C410DF3" w:rsidR="00ED429D" w:rsidRPr="00082277" w:rsidRDefault="00871A2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 xml:space="preserve">Visual Acuity </w:t>
            </w:r>
            <w:r w:rsidR="00ED429D" w:rsidRPr="00082277">
              <w:rPr>
                <w:sz w:val="22"/>
                <w:szCs w:val="22"/>
              </w:rPr>
              <w:t>Testing method</w:t>
            </w:r>
          </w:p>
        </w:tc>
        <w:tc>
          <w:tcPr>
            <w:tcW w:w="3005" w:type="dxa"/>
          </w:tcPr>
          <w:p w14:paraId="540EE907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B0E9964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597DD63C" w14:textId="77777777" w:rsidTr="00ED429D">
        <w:tc>
          <w:tcPr>
            <w:tcW w:w="3005" w:type="dxa"/>
          </w:tcPr>
          <w:p w14:paraId="06B4B06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5CDF1A6E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605D9B4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548B40A2" w14:textId="77777777" w:rsidTr="00ED429D">
        <w:tc>
          <w:tcPr>
            <w:tcW w:w="3005" w:type="dxa"/>
          </w:tcPr>
          <w:p w14:paraId="4B90A1C6" w14:textId="0D3773B6" w:rsidR="00ED429D" w:rsidRPr="00082277" w:rsidRDefault="00ED429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Colour vision (Ishihara)</w:t>
            </w:r>
          </w:p>
        </w:tc>
        <w:tc>
          <w:tcPr>
            <w:tcW w:w="3005" w:type="dxa"/>
          </w:tcPr>
          <w:p w14:paraId="069B0AF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4FF6325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F220C6" w:rsidRPr="00082277" w14:paraId="15D04E72" w14:textId="77777777" w:rsidTr="00ED429D">
        <w:tc>
          <w:tcPr>
            <w:tcW w:w="3005" w:type="dxa"/>
          </w:tcPr>
          <w:p w14:paraId="60155E0F" w14:textId="77777777" w:rsidR="00F220C6" w:rsidRPr="00082277" w:rsidRDefault="00F220C6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2EC657A4" w14:textId="77777777" w:rsidR="00F220C6" w:rsidRPr="00082277" w:rsidRDefault="00F220C6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A1D0187" w14:textId="77777777" w:rsidR="00F220C6" w:rsidRPr="00082277" w:rsidRDefault="00F220C6">
            <w:pPr>
              <w:rPr>
                <w:sz w:val="22"/>
                <w:szCs w:val="22"/>
              </w:rPr>
            </w:pPr>
          </w:p>
        </w:tc>
      </w:tr>
      <w:tr w:rsidR="00F220C6" w:rsidRPr="00082277" w14:paraId="5BCD5C48" w14:textId="77777777" w:rsidTr="00ED429D">
        <w:tc>
          <w:tcPr>
            <w:tcW w:w="3005" w:type="dxa"/>
          </w:tcPr>
          <w:p w14:paraId="6B6548BE" w14:textId="74AFEE0D" w:rsidR="00F220C6" w:rsidRPr="00082277" w:rsidRDefault="00F220C6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Ocular motility</w:t>
            </w:r>
          </w:p>
        </w:tc>
        <w:tc>
          <w:tcPr>
            <w:tcW w:w="3005" w:type="dxa"/>
          </w:tcPr>
          <w:p w14:paraId="27A49C6F" w14:textId="77777777" w:rsidR="00F220C6" w:rsidRPr="00082277" w:rsidRDefault="00F220C6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1120817" w14:textId="77777777" w:rsidR="00F220C6" w:rsidRPr="00082277" w:rsidRDefault="00F220C6">
            <w:pPr>
              <w:rPr>
                <w:sz w:val="22"/>
                <w:szCs w:val="22"/>
              </w:rPr>
            </w:pPr>
          </w:p>
        </w:tc>
      </w:tr>
      <w:tr w:rsidR="00ED429D" w:rsidRPr="00082277" w14:paraId="2613763E" w14:textId="77777777" w:rsidTr="00ED429D">
        <w:tc>
          <w:tcPr>
            <w:tcW w:w="3005" w:type="dxa"/>
          </w:tcPr>
          <w:p w14:paraId="1BFE0E09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7C6D23F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208C8FE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871A2D" w:rsidRPr="00082277" w14:paraId="29DA2946" w14:textId="77777777" w:rsidTr="00ED429D">
        <w:tc>
          <w:tcPr>
            <w:tcW w:w="3005" w:type="dxa"/>
          </w:tcPr>
          <w:p w14:paraId="5A4D59BA" w14:textId="155E5C48" w:rsidR="00871A2D" w:rsidRPr="00082277" w:rsidRDefault="00871A2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Pupil examination (Are pupils equal)</w:t>
            </w:r>
          </w:p>
        </w:tc>
        <w:tc>
          <w:tcPr>
            <w:tcW w:w="3005" w:type="dxa"/>
          </w:tcPr>
          <w:p w14:paraId="647815FA" w14:textId="77777777" w:rsidR="00871A2D" w:rsidRPr="00082277" w:rsidRDefault="00871A2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DEFF6C1" w14:textId="77777777" w:rsidR="00871A2D" w:rsidRPr="00082277" w:rsidRDefault="00871A2D">
            <w:pPr>
              <w:rPr>
                <w:sz w:val="22"/>
                <w:szCs w:val="22"/>
              </w:rPr>
            </w:pPr>
          </w:p>
        </w:tc>
      </w:tr>
      <w:tr w:rsidR="00ED429D" w:rsidRPr="00082277" w14:paraId="76FD11AA" w14:textId="77777777" w:rsidTr="00ED429D">
        <w:tc>
          <w:tcPr>
            <w:tcW w:w="3005" w:type="dxa"/>
          </w:tcPr>
          <w:p w14:paraId="3CF04A8B" w14:textId="51570085" w:rsidR="00ED429D" w:rsidRPr="00082277" w:rsidRDefault="00ED429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RAPD (yes/no)</w:t>
            </w:r>
          </w:p>
        </w:tc>
        <w:tc>
          <w:tcPr>
            <w:tcW w:w="3005" w:type="dxa"/>
          </w:tcPr>
          <w:p w14:paraId="69687AE7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83FE9E6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574FF483" w14:textId="77777777" w:rsidTr="00ED429D">
        <w:tc>
          <w:tcPr>
            <w:tcW w:w="3005" w:type="dxa"/>
          </w:tcPr>
          <w:p w14:paraId="4C5B2840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6023FEDB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FF50F1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6C3A6DB7" w14:textId="77777777" w:rsidTr="00ED429D">
        <w:tc>
          <w:tcPr>
            <w:tcW w:w="3005" w:type="dxa"/>
          </w:tcPr>
          <w:p w14:paraId="0BE9D777" w14:textId="2E7C7F59" w:rsidR="00ED429D" w:rsidRPr="00082277" w:rsidRDefault="00ED429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Refraction</w:t>
            </w:r>
          </w:p>
        </w:tc>
        <w:tc>
          <w:tcPr>
            <w:tcW w:w="3005" w:type="dxa"/>
          </w:tcPr>
          <w:p w14:paraId="24FB983F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30C5C36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1DC0CA3A" w14:textId="77777777" w:rsidTr="00ED429D">
        <w:tc>
          <w:tcPr>
            <w:tcW w:w="3005" w:type="dxa"/>
          </w:tcPr>
          <w:p w14:paraId="6551A72E" w14:textId="04DD12ED" w:rsidR="00ED429D" w:rsidRPr="00082277" w:rsidRDefault="00871A2D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Refraction</w:t>
            </w:r>
            <w:r w:rsidR="001A5A9C" w:rsidRPr="00082277">
              <w:rPr>
                <w:sz w:val="22"/>
                <w:szCs w:val="22"/>
              </w:rPr>
              <w:t xml:space="preserve"> Testing</w:t>
            </w:r>
            <w:r w:rsidRPr="00082277">
              <w:rPr>
                <w:sz w:val="22"/>
                <w:szCs w:val="22"/>
              </w:rPr>
              <w:t xml:space="preserve"> </w:t>
            </w:r>
            <w:r w:rsidR="00ED429D" w:rsidRPr="00082277">
              <w:rPr>
                <w:sz w:val="22"/>
                <w:szCs w:val="22"/>
              </w:rPr>
              <w:t>Method</w:t>
            </w:r>
          </w:p>
        </w:tc>
        <w:tc>
          <w:tcPr>
            <w:tcW w:w="3005" w:type="dxa"/>
          </w:tcPr>
          <w:p w14:paraId="08876D3A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E75F18F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33C9B9D2" w14:textId="77777777" w:rsidTr="00ED429D">
        <w:tc>
          <w:tcPr>
            <w:tcW w:w="3005" w:type="dxa"/>
          </w:tcPr>
          <w:p w14:paraId="4808AE95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101E7235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B101A31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1A5A9C" w:rsidRPr="00082277" w14:paraId="0AFB86FF" w14:textId="77777777" w:rsidTr="00ED429D">
        <w:tc>
          <w:tcPr>
            <w:tcW w:w="3005" w:type="dxa"/>
          </w:tcPr>
          <w:p w14:paraId="481D3639" w14:textId="05CDF69E" w:rsidR="001A5A9C" w:rsidRPr="00082277" w:rsidRDefault="001A5A9C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Notes</w:t>
            </w:r>
          </w:p>
        </w:tc>
        <w:tc>
          <w:tcPr>
            <w:tcW w:w="3005" w:type="dxa"/>
          </w:tcPr>
          <w:p w14:paraId="23B6143B" w14:textId="77777777" w:rsidR="001A5A9C" w:rsidRPr="00082277" w:rsidRDefault="001A5A9C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1B32E803" w14:textId="77777777" w:rsidR="001A5A9C" w:rsidRPr="00082277" w:rsidRDefault="001A5A9C">
            <w:pPr>
              <w:rPr>
                <w:sz w:val="22"/>
                <w:szCs w:val="22"/>
              </w:rPr>
            </w:pPr>
          </w:p>
        </w:tc>
      </w:tr>
    </w:tbl>
    <w:p w14:paraId="04B329C9" w14:textId="77777777" w:rsidR="00871A2D" w:rsidRDefault="00871A2D"/>
    <w:p w14:paraId="78BF4A2C" w14:textId="3A722832" w:rsidR="00ED429D" w:rsidRPr="00685530" w:rsidRDefault="00871A2D" w:rsidP="00685530">
      <w:pPr>
        <w:jc w:val="center"/>
        <w:rPr>
          <w:b/>
          <w:bCs/>
        </w:rPr>
      </w:pPr>
      <w:r w:rsidRPr="00685530">
        <w:rPr>
          <w:b/>
          <w:bCs/>
        </w:rPr>
        <w:t>Symptoms questionnaire</w:t>
      </w:r>
    </w:p>
    <w:p w14:paraId="243E152E" w14:textId="77777777" w:rsidR="00871A2D" w:rsidRDefault="00871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366"/>
      </w:tblGrid>
      <w:tr w:rsidR="00ED429D" w:rsidRPr="00082277" w14:paraId="49859357" w14:textId="77777777" w:rsidTr="00082277">
        <w:tc>
          <w:tcPr>
            <w:tcW w:w="6091" w:type="dxa"/>
          </w:tcPr>
          <w:p w14:paraId="1645B065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8CC7BF" w14:textId="35ABDF2C" w:rsidR="00ED429D" w:rsidRPr="00082277" w:rsidRDefault="00871A2D" w:rsidP="00685530">
            <w:pPr>
              <w:jc w:val="center"/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Yes</w:t>
            </w:r>
          </w:p>
        </w:tc>
        <w:tc>
          <w:tcPr>
            <w:tcW w:w="1366" w:type="dxa"/>
          </w:tcPr>
          <w:p w14:paraId="55D78E93" w14:textId="3992571D" w:rsidR="00ED429D" w:rsidRPr="00082277" w:rsidRDefault="00871A2D" w:rsidP="00685530">
            <w:pPr>
              <w:jc w:val="center"/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No</w:t>
            </w:r>
          </w:p>
        </w:tc>
      </w:tr>
      <w:tr w:rsidR="00ED429D" w:rsidRPr="00082277" w14:paraId="65A015B0" w14:textId="77777777" w:rsidTr="00082277">
        <w:tc>
          <w:tcPr>
            <w:tcW w:w="6091" w:type="dxa"/>
          </w:tcPr>
          <w:p w14:paraId="247246B3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0F0F8D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FD47BDA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6E39B0AD" w14:textId="77777777" w:rsidTr="00082277">
        <w:tc>
          <w:tcPr>
            <w:tcW w:w="6091" w:type="dxa"/>
          </w:tcPr>
          <w:p w14:paraId="496CE351" w14:textId="42AD5642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Headaches</w:t>
            </w:r>
            <w:r w:rsidR="00082277" w:rsidRPr="00082277">
              <w:rPr>
                <w:sz w:val="22"/>
                <w:szCs w:val="22"/>
              </w:rPr>
              <w:t xml:space="preserve"> (yes/no and if yes answer for specific features below)</w:t>
            </w:r>
          </w:p>
        </w:tc>
        <w:tc>
          <w:tcPr>
            <w:tcW w:w="1559" w:type="dxa"/>
          </w:tcPr>
          <w:p w14:paraId="71598738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2A565A9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0A0A351E" w14:textId="77777777" w:rsidTr="00082277">
        <w:tc>
          <w:tcPr>
            <w:tcW w:w="6091" w:type="dxa"/>
          </w:tcPr>
          <w:p w14:paraId="363BC41A" w14:textId="5BF4B148" w:rsidR="007455EF" w:rsidRPr="00082277" w:rsidRDefault="007455EF" w:rsidP="007455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Persistent &amp; regular</w:t>
            </w:r>
            <w:r w:rsidR="00082277" w:rsidRPr="00082277">
              <w:rPr>
                <w:sz w:val="22"/>
                <w:szCs w:val="22"/>
              </w:rPr>
              <w:t xml:space="preserve"> headaches</w:t>
            </w:r>
            <w:r w:rsidRPr="00082277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14:paraId="2DDED89C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5928B73B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7455EF" w:rsidRPr="00082277" w14:paraId="399017D8" w14:textId="77777777" w:rsidTr="00082277">
        <w:tc>
          <w:tcPr>
            <w:tcW w:w="6091" w:type="dxa"/>
          </w:tcPr>
          <w:p w14:paraId="7053E23C" w14:textId="4DFD938B" w:rsidR="007455EF" w:rsidRPr="00082277" w:rsidRDefault="00082277" w:rsidP="007455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Headache w</w:t>
            </w:r>
            <w:r w:rsidR="007455EF" w:rsidRPr="00082277">
              <w:rPr>
                <w:sz w:val="22"/>
                <w:szCs w:val="22"/>
              </w:rPr>
              <w:t>aking child from sleep?</w:t>
            </w:r>
          </w:p>
        </w:tc>
        <w:tc>
          <w:tcPr>
            <w:tcW w:w="1559" w:type="dxa"/>
          </w:tcPr>
          <w:p w14:paraId="5D1B0EEE" w14:textId="77777777" w:rsidR="007455EF" w:rsidRPr="00082277" w:rsidRDefault="007455EF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218B978" w14:textId="77777777" w:rsidR="007455EF" w:rsidRPr="00082277" w:rsidRDefault="007455EF">
            <w:pPr>
              <w:rPr>
                <w:sz w:val="22"/>
                <w:szCs w:val="22"/>
              </w:rPr>
            </w:pPr>
          </w:p>
        </w:tc>
      </w:tr>
      <w:tr w:rsidR="007455EF" w:rsidRPr="00082277" w14:paraId="682B6D26" w14:textId="77777777" w:rsidTr="00082277">
        <w:tc>
          <w:tcPr>
            <w:tcW w:w="6091" w:type="dxa"/>
          </w:tcPr>
          <w:p w14:paraId="298EB3DA" w14:textId="418E3D39" w:rsidR="007455EF" w:rsidRPr="00082277" w:rsidRDefault="00082277" w:rsidP="007455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Headache f</w:t>
            </w:r>
            <w:r w:rsidR="007455EF" w:rsidRPr="00082277">
              <w:rPr>
                <w:sz w:val="22"/>
                <w:szCs w:val="22"/>
              </w:rPr>
              <w:t>requently present on waking in the morning?</w:t>
            </w:r>
          </w:p>
        </w:tc>
        <w:tc>
          <w:tcPr>
            <w:tcW w:w="1559" w:type="dxa"/>
          </w:tcPr>
          <w:p w14:paraId="629678B3" w14:textId="77777777" w:rsidR="007455EF" w:rsidRPr="00082277" w:rsidRDefault="007455EF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1A1684F" w14:textId="77777777" w:rsidR="007455EF" w:rsidRPr="00082277" w:rsidRDefault="007455EF">
            <w:pPr>
              <w:rPr>
                <w:sz w:val="22"/>
                <w:szCs w:val="22"/>
              </w:rPr>
            </w:pPr>
          </w:p>
        </w:tc>
      </w:tr>
      <w:tr w:rsidR="00ED429D" w:rsidRPr="00082277" w14:paraId="3455E38A" w14:textId="77777777" w:rsidTr="00082277">
        <w:tc>
          <w:tcPr>
            <w:tcW w:w="6091" w:type="dxa"/>
          </w:tcPr>
          <w:p w14:paraId="44A47BD7" w14:textId="5D30ABB5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Vomiting</w:t>
            </w:r>
          </w:p>
        </w:tc>
        <w:tc>
          <w:tcPr>
            <w:tcW w:w="1559" w:type="dxa"/>
          </w:tcPr>
          <w:p w14:paraId="752FCCEE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5D5C0E5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7A354754" w14:textId="77777777" w:rsidTr="00082277">
        <w:tc>
          <w:tcPr>
            <w:tcW w:w="6091" w:type="dxa"/>
          </w:tcPr>
          <w:p w14:paraId="5E06F082" w14:textId="4CB8CB94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Nausea</w:t>
            </w:r>
          </w:p>
        </w:tc>
        <w:tc>
          <w:tcPr>
            <w:tcW w:w="1559" w:type="dxa"/>
          </w:tcPr>
          <w:p w14:paraId="4B45A117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941BE7B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2B001906" w14:textId="77777777" w:rsidTr="00082277">
        <w:tc>
          <w:tcPr>
            <w:tcW w:w="6091" w:type="dxa"/>
          </w:tcPr>
          <w:p w14:paraId="6BB95830" w14:textId="6B34816E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Transient loss of vision</w:t>
            </w:r>
          </w:p>
        </w:tc>
        <w:tc>
          <w:tcPr>
            <w:tcW w:w="1559" w:type="dxa"/>
          </w:tcPr>
          <w:p w14:paraId="40790706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E0F4612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685530" w:rsidRPr="00082277" w14:paraId="10954411" w14:textId="77777777" w:rsidTr="00082277">
        <w:tc>
          <w:tcPr>
            <w:tcW w:w="6091" w:type="dxa"/>
          </w:tcPr>
          <w:p w14:paraId="014BD54F" w14:textId="496107CF" w:rsidR="00685530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Blurred vision</w:t>
            </w:r>
          </w:p>
        </w:tc>
        <w:tc>
          <w:tcPr>
            <w:tcW w:w="1559" w:type="dxa"/>
          </w:tcPr>
          <w:p w14:paraId="5542E492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2479E6C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</w:tr>
      <w:tr w:rsidR="00ED429D" w:rsidRPr="00082277" w14:paraId="64A4D4E2" w14:textId="77777777" w:rsidTr="00082277">
        <w:tc>
          <w:tcPr>
            <w:tcW w:w="6091" w:type="dxa"/>
          </w:tcPr>
          <w:p w14:paraId="3DCCD804" w14:textId="6B19CF68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Double vision</w:t>
            </w:r>
          </w:p>
        </w:tc>
        <w:tc>
          <w:tcPr>
            <w:tcW w:w="1559" w:type="dxa"/>
          </w:tcPr>
          <w:p w14:paraId="7687ED50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57A80A6D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ED429D" w:rsidRPr="00082277" w14:paraId="320E0E1C" w14:textId="77777777" w:rsidTr="00082277">
        <w:tc>
          <w:tcPr>
            <w:tcW w:w="6091" w:type="dxa"/>
          </w:tcPr>
          <w:p w14:paraId="2287C16A" w14:textId="26F237E1" w:rsidR="00ED429D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Balance or coordination problems</w:t>
            </w:r>
          </w:p>
        </w:tc>
        <w:tc>
          <w:tcPr>
            <w:tcW w:w="1559" w:type="dxa"/>
          </w:tcPr>
          <w:p w14:paraId="4D13B4C8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80B3C1E" w14:textId="77777777" w:rsidR="00ED429D" w:rsidRPr="00082277" w:rsidRDefault="00ED429D">
            <w:pPr>
              <w:rPr>
                <w:sz w:val="22"/>
                <w:szCs w:val="22"/>
              </w:rPr>
            </w:pPr>
          </w:p>
        </w:tc>
      </w:tr>
      <w:tr w:rsidR="00685530" w:rsidRPr="00082277" w14:paraId="25BF82AD" w14:textId="77777777" w:rsidTr="00082277">
        <w:tc>
          <w:tcPr>
            <w:tcW w:w="6091" w:type="dxa"/>
          </w:tcPr>
          <w:p w14:paraId="73F79657" w14:textId="2E9A7B3F" w:rsidR="00685530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Behaviour change</w:t>
            </w:r>
          </w:p>
        </w:tc>
        <w:tc>
          <w:tcPr>
            <w:tcW w:w="1559" w:type="dxa"/>
          </w:tcPr>
          <w:p w14:paraId="7C4F7D64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08A53DA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</w:tr>
      <w:tr w:rsidR="00685530" w:rsidRPr="00082277" w14:paraId="22B99D7C" w14:textId="77777777" w:rsidTr="00082277">
        <w:tc>
          <w:tcPr>
            <w:tcW w:w="6091" w:type="dxa"/>
          </w:tcPr>
          <w:p w14:paraId="22D6FD5D" w14:textId="56AB72A3" w:rsidR="00685530" w:rsidRPr="00082277" w:rsidRDefault="00685530">
            <w:pPr>
              <w:rPr>
                <w:sz w:val="22"/>
                <w:szCs w:val="22"/>
              </w:rPr>
            </w:pPr>
            <w:r w:rsidRPr="00082277">
              <w:rPr>
                <w:sz w:val="22"/>
                <w:szCs w:val="22"/>
              </w:rPr>
              <w:t>Fits or seizures</w:t>
            </w:r>
          </w:p>
        </w:tc>
        <w:tc>
          <w:tcPr>
            <w:tcW w:w="1559" w:type="dxa"/>
          </w:tcPr>
          <w:p w14:paraId="2CC2910F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F43AFBC" w14:textId="77777777" w:rsidR="00685530" w:rsidRPr="00082277" w:rsidRDefault="00685530">
            <w:pPr>
              <w:rPr>
                <w:sz w:val="22"/>
                <w:szCs w:val="22"/>
              </w:rPr>
            </w:pPr>
          </w:p>
        </w:tc>
      </w:tr>
    </w:tbl>
    <w:p w14:paraId="1898098C" w14:textId="77777777" w:rsidR="00ED429D" w:rsidRDefault="00ED429D"/>
    <w:p w14:paraId="0F2ECF62" w14:textId="795D8EB3" w:rsidR="00C0051B" w:rsidRDefault="00C0051B">
      <w:r>
        <w:t xml:space="preserve">For Croydon, please refer to </w:t>
      </w:r>
      <w:hyperlink r:id="rId5" w:history="1">
        <w:r w:rsidRPr="00A346CD">
          <w:rPr>
            <w:rStyle w:val="Hyperlink"/>
          </w:rPr>
          <w:t>moorfields.croydonurgentcare@nhs.net</w:t>
        </w:r>
      </w:hyperlink>
    </w:p>
    <w:p w14:paraId="3EA2124B" w14:textId="77777777" w:rsidR="00C0051B" w:rsidRDefault="00C0051B"/>
    <w:p w14:paraId="5E917B96" w14:textId="7220FAC3" w:rsidR="00C0051B" w:rsidRDefault="00C0051B">
      <w:r>
        <w:t xml:space="preserve">For </w:t>
      </w:r>
      <w:proofErr w:type="spellStart"/>
      <w:proofErr w:type="gramStart"/>
      <w:r>
        <w:t>St.George’s</w:t>
      </w:r>
      <w:proofErr w:type="spellEnd"/>
      <w:proofErr w:type="gramEnd"/>
      <w:r>
        <w:t xml:space="preserve">, please refer to </w:t>
      </w:r>
      <w:hyperlink r:id="rId6" w:history="1">
        <w:r w:rsidRPr="00A346CD">
          <w:rPr>
            <w:rStyle w:val="Hyperlink"/>
          </w:rPr>
          <w:t>moorfields.sghurgentcare@nhs.net</w:t>
        </w:r>
      </w:hyperlink>
    </w:p>
    <w:sectPr w:rsidR="00C0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50D0F"/>
    <w:multiLevelType w:val="hybridMultilevel"/>
    <w:tmpl w:val="B6567AA8"/>
    <w:lvl w:ilvl="0" w:tplc="A272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55"/>
    <w:rsid w:val="0000335C"/>
    <w:rsid w:val="00013AA8"/>
    <w:rsid w:val="00030382"/>
    <w:rsid w:val="00051E26"/>
    <w:rsid w:val="0007588E"/>
    <w:rsid w:val="00082277"/>
    <w:rsid w:val="0009449A"/>
    <w:rsid w:val="0009790B"/>
    <w:rsid w:val="000B648F"/>
    <w:rsid w:val="000E207A"/>
    <w:rsid w:val="000F33DE"/>
    <w:rsid w:val="00105799"/>
    <w:rsid w:val="00116938"/>
    <w:rsid w:val="00123CCB"/>
    <w:rsid w:val="0012558D"/>
    <w:rsid w:val="00127571"/>
    <w:rsid w:val="001418C3"/>
    <w:rsid w:val="00160269"/>
    <w:rsid w:val="001642EA"/>
    <w:rsid w:val="001729E6"/>
    <w:rsid w:val="001967D1"/>
    <w:rsid w:val="001A0939"/>
    <w:rsid w:val="001A5A9C"/>
    <w:rsid w:val="001F0D4F"/>
    <w:rsid w:val="00203669"/>
    <w:rsid w:val="002108F9"/>
    <w:rsid w:val="0021110A"/>
    <w:rsid w:val="0023201C"/>
    <w:rsid w:val="00265968"/>
    <w:rsid w:val="00280A3F"/>
    <w:rsid w:val="002A2A94"/>
    <w:rsid w:val="002A6DA1"/>
    <w:rsid w:val="002C7ACD"/>
    <w:rsid w:val="002D0084"/>
    <w:rsid w:val="002D0371"/>
    <w:rsid w:val="002D40B7"/>
    <w:rsid w:val="002D76D8"/>
    <w:rsid w:val="00316F53"/>
    <w:rsid w:val="0034078D"/>
    <w:rsid w:val="00343144"/>
    <w:rsid w:val="00351344"/>
    <w:rsid w:val="0037588F"/>
    <w:rsid w:val="00395E4B"/>
    <w:rsid w:val="003A6BFE"/>
    <w:rsid w:val="003F73BF"/>
    <w:rsid w:val="004027C5"/>
    <w:rsid w:val="00411209"/>
    <w:rsid w:val="00415607"/>
    <w:rsid w:val="0042004C"/>
    <w:rsid w:val="004403EA"/>
    <w:rsid w:val="004546A4"/>
    <w:rsid w:val="00455978"/>
    <w:rsid w:val="00493711"/>
    <w:rsid w:val="00496995"/>
    <w:rsid w:val="004A0888"/>
    <w:rsid w:val="004B57EF"/>
    <w:rsid w:val="004B5BEA"/>
    <w:rsid w:val="004D61EF"/>
    <w:rsid w:val="004F19A6"/>
    <w:rsid w:val="005061A2"/>
    <w:rsid w:val="005359E6"/>
    <w:rsid w:val="005468F9"/>
    <w:rsid w:val="00550BF6"/>
    <w:rsid w:val="00550D70"/>
    <w:rsid w:val="005565B1"/>
    <w:rsid w:val="00562F85"/>
    <w:rsid w:val="00564B32"/>
    <w:rsid w:val="00573CE0"/>
    <w:rsid w:val="00576CD5"/>
    <w:rsid w:val="0059345A"/>
    <w:rsid w:val="00595BAC"/>
    <w:rsid w:val="005D353D"/>
    <w:rsid w:val="00605222"/>
    <w:rsid w:val="00612892"/>
    <w:rsid w:val="00631E3D"/>
    <w:rsid w:val="00631FA9"/>
    <w:rsid w:val="0063674A"/>
    <w:rsid w:val="0065002D"/>
    <w:rsid w:val="00651E7B"/>
    <w:rsid w:val="00672B4B"/>
    <w:rsid w:val="0068135E"/>
    <w:rsid w:val="00685530"/>
    <w:rsid w:val="006A5E81"/>
    <w:rsid w:val="006E1C6F"/>
    <w:rsid w:val="0070542F"/>
    <w:rsid w:val="00715806"/>
    <w:rsid w:val="007219CE"/>
    <w:rsid w:val="00724525"/>
    <w:rsid w:val="00740B3E"/>
    <w:rsid w:val="007429E2"/>
    <w:rsid w:val="007455EF"/>
    <w:rsid w:val="00747C20"/>
    <w:rsid w:val="007529BB"/>
    <w:rsid w:val="0078153D"/>
    <w:rsid w:val="00787687"/>
    <w:rsid w:val="00793F9A"/>
    <w:rsid w:val="007B7C58"/>
    <w:rsid w:val="007E059C"/>
    <w:rsid w:val="007F555E"/>
    <w:rsid w:val="008066E0"/>
    <w:rsid w:val="008078EE"/>
    <w:rsid w:val="00807B08"/>
    <w:rsid w:val="00825459"/>
    <w:rsid w:val="00837AD2"/>
    <w:rsid w:val="00866670"/>
    <w:rsid w:val="0087045D"/>
    <w:rsid w:val="00871A2D"/>
    <w:rsid w:val="0087274F"/>
    <w:rsid w:val="00880FCA"/>
    <w:rsid w:val="008B7B3F"/>
    <w:rsid w:val="008C54C9"/>
    <w:rsid w:val="008E0348"/>
    <w:rsid w:val="008F0017"/>
    <w:rsid w:val="008F1036"/>
    <w:rsid w:val="008F4C82"/>
    <w:rsid w:val="008F4C9C"/>
    <w:rsid w:val="0092124E"/>
    <w:rsid w:val="00921AAF"/>
    <w:rsid w:val="0092661F"/>
    <w:rsid w:val="00933419"/>
    <w:rsid w:val="00960F03"/>
    <w:rsid w:val="009716FE"/>
    <w:rsid w:val="00975715"/>
    <w:rsid w:val="00983BC9"/>
    <w:rsid w:val="00991593"/>
    <w:rsid w:val="0099471C"/>
    <w:rsid w:val="00994D38"/>
    <w:rsid w:val="009A0CA6"/>
    <w:rsid w:val="009B64B9"/>
    <w:rsid w:val="009D370E"/>
    <w:rsid w:val="009D4C08"/>
    <w:rsid w:val="009D6478"/>
    <w:rsid w:val="009E2615"/>
    <w:rsid w:val="00A0058F"/>
    <w:rsid w:val="00A04E70"/>
    <w:rsid w:val="00A07512"/>
    <w:rsid w:val="00A15A2C"/>
    <w:rsid w:val="00A16E77"/>
    <w:rsid w:val="00A17063"/>
    <w:rsid w:val="00A1730C"/>
    <w:rsid w:val="00A23572"/>
    <w:rsid w:val="00A24C7B"/>
    <w:rsid w:val="00A337E9"/>
    <w:rsid w:val="00A434DB"/>
    <w:rsid w:val="00A64A39"/>
    <w:rsid w:val="00A806AC"/>
    <w:rsid w:val="00A92026"/>
    <w:rsid w:val="00AA08F9"/>
    <w:rsid w:val="00AB3D0A"/>
    <w:rsid w:val="00B27A31"/>
    <w:rsid w:val="00B52A39"/>
    <w:rsid w:val="00B65711"/>
    <w:rsid w:val="00B67EB3"/>
    <w:rsid w:val="00B83701"/>
    <w:rsid w:val="00BB5E7C"/>
    <w:rsid w:val="00BB7CBE"/>
    <w:rsid w:val="00BC3E94"/>
    <w:rsid w:val="00BD0B20"/>
    <w:rsid w:val="00BD1BD2"/>
    <w:rsid w:val="00BF757D"/>
    <w:rsid w:val="00C0051B"/>
    <w:rsid w:val="00C01975"/>
    <w:rsid w:val="00C357CB"/>
    <w:rsid w:val="00C46970"/>
    <w:rsid w:val="00C62BA9"/>
    <w:rsid w:val="00C72064"/>
    <w:rsid w:val="00C74D3B"/>
    <w:rsid w:val="00C77BFD"/>
    <w:rsid w:val="00CB1047"/>
    <w:rsid w:val="00CC21EC"/>
    <w:rsid w:val="00CD11D0"/>
    <w:rsid w:val="00CE532F"/>
    <w:rsid w:val="00CF456C"/>
    <w:rsid w:val="00D005A8"/>
    <w:rsid w:val="00D14758"/>
    <w:rsid w:val="00D34C34"/>
    <w:rsid w:val="00D45421"/>
    <w:rsid w:val="00D57D7F"/>
    <w:rsid w:val="00D642D9"/>
    <w:rsid w:val="00D671FE"/>
    <w:rsid w:val="00D70A17"/>
    <w:rsid w:val="00D716D9"/>
    <w:rsid w:val="00D85644"/>
    <w:rsid w:val="00D9163E"/>
    <w:rsid w:val="00DC307D"/>
    <w:rsid w:val="00DC5A22"/>
    <w:rsid w:val="00DE0AFC"/>
    <w:rsid w:val="00DE0D6C"/>
    <w:rsid w:val="00E01244"/>
    <w:rsid w:val="00E10D90"/>
    <w:rsid w:val="00E16BC0"/>
    <w:rsid w:val="00E32A55"/>
    <w:rsid w:val="00E37AF4"/>
    <w:rsid w:val="00E64E72"/>
    <w:rsid w:val="00E64E8F"/>
    <w:rsid w:val="00E94F72"/>
    <w:rsid w:val="00EB0643"/>
    <w:rsid w:val="00EC1F5B"/>
    <w:rsid w:val="00ED429D"/>
    <w:rsid w:val="00EF79FB"/>
    <w:rsid w:val="00F12836"/>
    <w:rsid w:val="00F12F64"/>
    <w:rsid w:val="00F220C6"/>
    <w:rsid w:val="00F22D05"/>
    <w:rsid w:val="00F36073"/>
    <w:rsid w:val="00F36C25"/>
    <w:rsid w:val="00F5019B"/>
    <w:rsid w:val="00F63D14"/>
    <w:rsid w:val="00F67366"/>
    <w:rsid w:val="00F757BD"/>
    <w:rsid w:val="00F81283"/>
    <w:rsid w:val="00F82255"/>
    <w:rsid w:val="00F87050"/>
    <w:rsid w:val="00F87C89"/>
    <w:rsid w:val="00FA078C"/>
    <w:rsid w:val="00FA7641"/>
    <w:rsid w:val="00FC7008"/>
    <w:rsid w:val="00FD1A29"/>
    <w:rsid w:val="00FE55A9"/>
    <w:rsid w:val="00FF082D"/>
    <w:rsid w:val="00FF2C6C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F23D"/>
  <w15:chartTrackingRefBased/>
  <w15:docId w15:val="{BB2E196C-8BEE-B24C-8B1C-089DC61B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fields.sghurgentcare@nhs.net" TargetMode="External"/><Relationship Id="rId5" Type="http://schemas.openxmlformats.org/officeDocument/2006/relationships/hyperlink" Target="mailto:moorfields.croydonurgentcar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Eyall Gelbart</cp:lastModifiedBy>
  <cp:revision>2</cp:revision>
  <dcterms:created xsi:type="dcterms:W3CDTF">2024-04-02T13:26:00Z</dcterms:created>
  <dcterms:modified xsi:type="dcterms:W3CDTF">2024-04-02T13:26:00Z</dcterms:modified>
</cp:coreProperties>
</file>